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950D" w14:textId="77777777" w:rsidR="00D07647" w:rsidRDefault="00D07647" w:rsidP="00293B7F">
      <w:pPr>
        <w:ind w:left="-567" w:right="-567"/>
        <w:rPr>
          <w:rFonts w:eastAsia="Times New Roman"/>
        </w:rPr>
      </w:pPr>
      <w:r>
        <w:rPr>
          <w:rFonts w:eastAsia="Times New Roman"/>
        </w:rPr>
        <w:t xml:space="preserve">Bonjour, à la suite de la réunion tenue ce 6/1/2022, je vous prie d’en trouver le </w:t>
      </w:r>
      <w:proofErr w:type="spellStart"/>
      <w:r>
        <w:rPr>
          <w:rFonts w:eastAsia="Times New Roman"/>
        </w:rPr>
        <w:t>procès verbal</w:t>
      </w:r>
      <w:proofErr w:type="spellEnd"/>
      <w:r>
        <w:rPr>
          <w:rFonts w:eastAsia="Times New Roman"/>
        </w:rPr>
        <w:t>. </w:t>
      </w:r>
    </w:p>
    <w:p w14:paraId="2F73F701" w14:textId="77777777" w:rsidR="00D07647" w:rsidRDefault="00D07647" w:rsidP="00D07647">
      <w:pPr>
        <w:rPr>
          <w:rFonts w:eastAsia="Times New Roman"/>
        </w:rPr>
      </w:pPr>
    </w:p>
    <w:p w14:paraId="0ED7AEB1" w14:textId="77777777" w:rsidR="00D07647" w:rsidRDefault="00D07647" w:rsidP="00D07647">
      <w:pPr>
        <w:rPr>
          <w:rFonts w:eastAsia="Times New Roman"/>
        </w:rPr>
      </w:pPr>
      <w:r>
        <w:rPr>
          <w:rFonts w:eastAsia="Times New Roman"/>
        </w:rPr>
        <w:t>Si vous souhaitez apporter des remarques et/ou des modifications, merci de m’en faire part, en retour du présent mail. </w:t>
      </w:r>
    </w:p>
    <w:p w14:paraId="0355812A" w14:textId="77777777" w:rsidR="00D07647" w:rsidRDefault="00D07647" w:rsidP="00D07647">
      <w:pPr>
        <w:rPr>
          <w:rFonts w:eastAsia="Times New Roman"/>
        </w:rPr>
      </w:pPr>
    </w:p>
    <w:p w14:paraId="0248D8F7" w14:textId="77777777" w:rsidR="00D07647" w:rsidRDefault="00D07647" w:rsidP="00D07647">
      <w:pPr>
        <w:rPr>
          <w:rFonts w:eastAsia="Times New Roman"/>
        </w:rPr>
      </w:pPr>
      <w:r>
        <w:rPr>
          <w:rFonts w:eastAsia="Times New Roman"/>
        </w:rPr>
        <w:t xml:space="preserve">A la date du 19/1/2022, le présent </w:t>
      </w:r>
      <w:proofErr w:type="spellStart"/>
      <w:r>
        <w:rPr>
          <w:rFonts w:eastAsia="Times New Roman"/>
        </w:rPr>
        <w:t>procès verbal</w:t>
      </w:r>
      <w:proofErr w:type="spellEnd"/>
      <w:r>
        <w:rPr>
          <w:rFonts w:eastAsia="Times New Roman"/>
        </w:rPr>
        <w:t xml:space="preserve"> sera validé en l’état si aucune remarques ou question n’est formulée. </w:t>
      </w:r>
    </w:p>
    <w:p w14:paraId="3FB831C1" w14:textId="77777777" w:rsidR="00D07647" w:rsidRDefault="00D07647" w:rsidP="00D07647">
      <w:pPr>
        <w:rPr>
          <w:rFonts w:eastAsia="Times New Roman"/>
        </w:rPr>
      </w:pPr>
    </w:p>
    <w:p w14:paraId="18599189" w14:textId="77777777" w:rsidR="00D07647" w:rsidRDefault="00D07647" w:rsidP="00D07647">
      <w:pPr>
        <w:rPr>
          <w:rFonts w:eastAsia="Times New Roman"/>
        </w:rPr>
      </w:pPr>
      <w:r>
        <w:rPr>
          <w:rFonts w:eastAsia="Times New Roman"/>
        </w:rPr>
        <w:t>Cordialement, Laurent Dewandre. </w:t>
      </w:r>
    </w:p>
    <w:p w14:paraId="51EBAED3" w14:textId="77777777" w:rsidR="00D07647" w:rsidRDefault="00D07647" w:rsidP="00D07647">
      <w:pPr>
        <w:ind w:left="-567" w:right="-426"/>
        <w:rPr>
          <w:rFonts w:eastAsia="Times New Roman"/>
        </w:rPr>
      </w:pPr>
    </w:p>
    <w:p w14:paraId="599EC2F2" w14:textId="32B99582" w:rsidR="00D07647" w:rsidRDefault="00D07647" w:rsidP="00D07647">
      <w:pPr>
        <w:rPr>
          <w:rFonts w:eastAsia="Times New Roman"/>
        </w:rPr>
      </w:pPr>
      <w:r>
        <w:rPr>
          <w:rFonts w:eastAsia="Times New Roman"/>
        </w:rPr>
        <w:t>Date : 6/1/2022</w:t>
      </w:r>
      <w:r>
        <w:rPr>
          <w:rFonts w:eastAsia="Times New Roman"/>
        </w:rPr>
        <w:br/>
        <w:t> </w:t>
      </w:r>
      <w:r>
        <w:rPr>
          <w:rFonts w:eastAsia="Times New Roman"/>
        </w:rPr>
        <w:br/>
        <w:t>PV réunion : Projet hydroélectrique du Gatineau : Dossier d’autorisation</w:t>
      </w:r>
      <w:r>
        <w:rPr>
          <w:rFonts w:eastAsia="Times New Roman"/>
        </w:rPr>
        <w:br/>
        <w:t> </w:t>
      </w:r>
      <w:r>
        <w:rPr>
          <w:rFonts w:eastAsia="Times New Roman"/>
        </w:rPr>
        <w:br/>
        <w:t xml:space="preserve">DDT : M Blanchon, V </w:t>
      </w:r>
      <w:proofErr w:type="spellStart"/>
      <w:r>
        <w:rPr>
          <w:rFonts w:eastAsia="Times New Roman"/>
        </w:rPr>
        <w:t>Pinturaud</w:t>
      </w:r>
      <w:proofErr w:type="spellEnd"/>
      <w:r>
        <w:rPr>
          <w:rFonts w:eastAsia="Times New Roman"/>
        </w:rPr>
        <w:br/>
        <w:t>OFB : C Berthier</w:t>
      </w:r>
      <w:r>
        <w:rPr>
          <w:rFonts w:eastAsia="Times New Roman"/>
        </w:rPr>
        <w:br/>
        <w:t>Pétitionnaire : Sébastien Bensch</w:t>
      </w:r>
      <w:r>
        <w:rPr>
          <w:rFonts w:eastAsia="Times New Roman"/>
        </w:rPr>
        <w:br/>
        <w:t xml:space="preserve">BE </w:t>
      </w:r>
      <w:proofErr w:type="spellStart"/>
      <w:r>
        <w:rPr>
          <w:rFonts w:eastAsia="Times New Roman"/>
        </w:rPr>
        <w:t>Mtbe</w:t>
      </w:r>
      <w:proofErr w:type="spellEnd"/>
      <w:r>
        <w:rPr>
          <w:rFonts w:eastAsia="Times New Roman"/>
        </w:rPr>
        <w:t xml:space="preserve"> : Guillaume Lepers, Laurent Dewandre</w:t>
      </w:r>
      <w:r>
        <w:rPr>
          <w:rFonts w:eastAsia="Times New Roman"/>
        </w:rPr>
        <w:br/>
        <w:t> </w:t>
      </w:r>
      <w:r>
        <w:rPr>
          <w:rFonts w:eastAsia="Times New Roman"/>
        </w:rPr>
        <w:br/>
        <w:t>Objet : A la suite de l’introduction du dossier de complément en octobre 2021, une réunion s’est tenue pour échanger sur le contenu du dossier.</w:t>
      </w:r>
      <w:r>
        <w:rPr>
          <w:rFonts w:eastAsia="Times New Roman"/>
        </w:rPr>
        <w:br/>
        <w:t> </w:t>
      </w:r>
      <w:r>
        <w:rPr>
          <w:rFonts w:eastAsia="Times New Roman"/>
        </w:rPr>
        <w:br/>
        <w:t>Les points abordés sont les suivant :</w:t>
      </w:r>
      <w:r>
        <w:rPr>
          <w:rFonts w:eastAsia="Times New Roman"/>
        </w:rPr>
        <w:br/>
        <w:t> </w:t>
      </w:r>
      <w:r>
        <w:rPr>
          <w:rFonts w:eastAsia="Times New Roman"/>
        </w:rPr>
        <w:br/>
        <w:t>Préambule : déroulé du dossier</w:t>
      </w:r>
      <w:r>
        <w:rPr>
          <w:rFonts w:eastAsia="Times New Roman"/>
        </w:rPr>
        <w:br/>
        <w:t> </w:t>
      </w:r>
      <w:r>
        <w:rPr>
          <w:rFonts w:eastAsia="Times New Roman"/>
        </w:rPr>
        <w:br/>
        <w:t>J0 : 6/1/2021</w:t>
      </w:r>
      <w:r>
        <w:rPr>
          <w:rFonts w:eastAsia="Times New Roman"/>
        </w:rPr>
        <w:br/>
        <w:t>J0 + 0,5 mois : remise de l’avis</w:t>
      </w:r>
      <w:r>
        <w:rPr>
          <w:rFonts w:eastAsia="Times New Roman"/>
        </w:rPr>
        <w:br/>
        <w:t>J0 + 1 mois : validation du contenu technique sur le projet</w:t>
      </w:r>
      <w:r>
        <w:rPr>
          <w:rFonts w:eastAsia="Times New Roman"/>
        </w:rPr>
        <w:br/>
        <w:t>J0 + 1 mois : début de la préparation de l’enquête publique</w:t>
      </w:r>
      <w:r>
        <w:rPr>
          <w:rFonts w:eastAsia="Times New Roman"/>
        </w:rPr>
        <w:br/>
        <w:t>J0 + 2,5 mois début de la phase d’enquête publique</w:t>
      </w:r>
      <w:r>
        <w:rPr>
          <w:rFonts w:eastAsia="Times New Roman"/>
        </w:rPr>
        <w:br/>
        <w:t>J0 + 3 mois fin de la phase d’enquête publique</w:t>
      </w:r>
      <w:r>
        <w:rPr>
          <w:rFonts w:eastAsia="Times New Roman"/>
        </w:rPr>
        <w:br/>
        <w:t>J0 + 4 mois : édition du rapport d’enquête publique</w:t>
      </w:r>
      <w:r>
        <w:rPr>
          <w:rFonts w:eastAsia="Times New Roman"/>
        </w:rPr>
        <w:br/>
        <w:t>J0 + 4,5 mois : mémoire de réponse par le pétitionnaire</w:t>
      </w:r>
      <w:r>
        <w:rPr>
          <w:rFonts w:eastAsia="Times New Roman"/>
        </w:rPr>
        <w:br/>
        <w:t>J0 + 5,5 mois : édition de l’arrêté préfectoral d’autorisation</w:t>
      </w:r>
      <w:r>
        <w:rPr>
          <w:rFonts w:eastAsia="Times New Roman"/>
        </w:rPr>
        <w:br/>
        <w:t>J0 + 7,5 mois : fin de la période de recours pour le pétitionnaire</w:t>
      </w:r>
      <w:r>
        <w:rPr>
          <w:rFonts w:eastAsia="Times New Roman"/>
        </w:rPr>
        <w:br/>
        <w:t>J0 + 9,5 mois : fin de la période de recours pour les tiers</w:t>
      </w:r>
      <w:r>
        <w:rPr>
          <w:rFonts w:eastAsia="Times New Roman"/>
        </w:rPr>
        <w:br/>
        <w:t> </w:t>
      </w:r>
      <w:r>
        <w:rPr>
          <w:rFonts w:eastAsia="Times New Roman"/>
        </w:rPr>
        <w:br/>
        <w:t>NB : le risque d’interruption d’enquête publique pour raison de réserve, en période électorale, a été écarté par la DDT au titre que le projet n’a pas de visée ni portée électorale.</w:t>
      </w:r>
      <w:r>
        <w:rPr>
          <w:rFonts w:eastAsia="Times New Roman"/>
        </w:rPr>
        <w:br/>
        <w:t> </w:t>
      </w:r>
      <w:r>
        <w:rPr>
          <w:rFonts w:eastAsia="Times New Roman"/>
        </w:rPr>
        <w:br/>
        <w:t>1) Forme du dossier : résumé non technique, résumé de l’étude d’incidence, compatibilité du projet avec le SDAGE</w:t>
      </w:r>
      <w:r>
        <w:rPr>
          <w:rFonts w:eastAsia="Times New Roman"/>
        </w:rPr>
        <w:br/>
        <w:t> </w:t>
      </w:r>
      <w:r>
        <w:rPr>
          <w:rFonts w:eastAsia="Times New Roman"/>
        </w:rPr>
        <w:br/>
        <w:t>Les éléments transmis au travers du dossier de consultation ont été jugés satisfaisant.</w:t>
      </w:r>
      <w:r>
        <w:rPr>
          <w:rFonts w:eastAsia="Times New Roman"/>
        </w:rPr>
        <w:br/>
        <w:t> </w:t>
      </w:r>
      <w:r>
        <w:rPr>
          <w:rFonts w:eastAsia="Times New Roman"/>
        </w:rPr>
        <w:br/>
        <w:t>2) Mode opératoire des travaux</w:t>
      </w:r>
      <w:r>
        <w:rPr>
          <w:rFonts w:eastAsia="Times New Roman"/>
        </w:rPr>
        <w:br/>
        <w:t> </w:t>
      </w:r>
      <w:r>
        <w:rPr>
          <w:rFonts w:eastAsia="Times New Roman"/>
        </w:rPr>
        <w:br/>
        <w:t>En raison de la présence d’habitats de bivalves à l’aval du Gatineau sur la Creuse, la restitution des matériaux tels que prévus dans le dossier ne concernera pas les sédiments fins, tels que limons sables et argiles. Un tri en fonction de la granulométrie sera à opérer. </w:t>
      </w:r>
      <w:r>
        <w:rPr>
          <w:rFonts w:eastAsia="Times New Roman"/>
        </w:rPr>
        <w:br/>
        <w:t> </w:t>
      </w:r>
      <w:r>
        <w:rPr>
          <w:rFonts w:eastAsia="Times New Roman"/>
        </w:rPr>
        <w:br/>
        <w:t>Une précision sur les enrochements à faces parallèles a été apportée. </w:t>
      </w:r>
      <w:r>
        <w:rPr>
          <w:rFonts w:eastAsia="Times New Roman"/>
        </w:rPr>
        <w:br/>
        <w:t> </w:t>
      </w:r>
      <w:r>
        <w:rPr>
          <w:rFonts w:eastAsia="Times New Roman"/>
        </w:rPr>
        <w:br/>
        <w:t>3) Hydrographie </w:t>
      </w:r>
      <w:r>
        <w:rPr>
          <w:rFonts w:eastAsia="Times New Roman"/>
        </w:rPr>
        <w:br/>
        <w:t> </w:t>
      </w:r>
      <w:r>
        <w:rPr>
          <w:rFonts w:eastAsia="Times New Roman"/>
        </w:rPr>
        <w:br/>
        <w:t xml:space="preserve">Il est demandé que les plans soient amendés des lignes d’eau allant de l’étiage à trois fois le module </w:t>
      </w:r>
      <w:r>
        <w:rPr>
          <w:rFonts w:eastAsia="Times New Roman"/>
        </w:rPr>
        <w:lastRenderedPageBreak/>
        <w:t>sur les ouvrages de franchissement. La passe à poissons en rive droite et la goulotte de dévalaison en seront pourvues sur la version suivante des plans. </w:t>
      </w:r>
      <w:r>
        <w:rPr>
          <w:rFonts w:eastAsia="Times New Roman"/>
        </w:rPr>
        <w:br/>
        <w:t>Une illustration des débits caractéristiques et un tableau de répartition en fonction de l’hydrologie sera transmis.</w:t>
      </w:r>
      <w:r>
        <w:rPr>
          <w:rFonts w:eastAsia="Times New Roman"/>
        </w:rPr>
        <w:br/>
        <w:t> </w:t>
      </w:r>
      <w:r>
        <w:rPr>
          <w:rFonts w:eastAsia="Times New Roman"/>
        </w:rPr>
        <w:br/>
        <w:t>Un plan et les caractéristiques dimensionnelles de l’échancrure adjacente à la drome seront transmis.</w:t>
      </w:r>
      <w:r>
        <w:rPr>
          <w:rFonts w:eastAsia="Times New Roman"/>
        </w:rPr>
        <w:br/>
        <w:t> </w:t>
      </w:r>
      <w:r>
        <w:rPr>
          <w:rFonts w:eastAsia="Times New Roman"/>
        </w:rPr>
        <w:br/>
        <w:t>4) fonctionnement de la passe en rive droite</w:t>
      </w:r>
      <w:r>
        <w:rPr>
          <w:rFonts w:eastAsia="Times New Roman"/>
        </w:rPr>
        <w:br/>
        <w:t> </w:t>
      </w:r>
      <w:r>
        <w:rPr>
          <w:rFonts w:eastAsia="Times New Roman"/>
        </w:rPr>
        <w:br/>
        <w:t>La passe à poissons, existante et présente antérieurement à l’acquisition du site par le pétitionnaire présente, des défaut de fonctionnement.</w:t>
      </w:r>
      <w:r>
        <w:rPr>
          <w:rFonts w:eastAsia="Times New Roman"/>
        </w:rPr>
        <w:br/>
        <w:t>Les défauts majeurs de fonctionnement consistent en une mauvaise répartition des hauteurs de chutes à bas débits. Cette mauvaise répartition induit une puissance dissipée trop importante en comparaison avec les capacités de nage des espèces présentes dans le cours d’eau et ce notamment pour l’Alose.</w:t>
      </w:r>
      <w:r>
        <w:rPr>
          <w:rFonts w:eastAsia="Times New Roman"/>
        </w:rPr>
        <w:br/>
        <w:t> </w:t>
      </w:r>
      <w:r>
        <w:rPr>
          <w:rFonts w:eastAsia="Times New Roman"/>
        </w:rPr>
        <w:br/>
        <w:t>La solution préconisée par l’OFB est de travailler sur une modification de la partie amont de la passe pour ajouter une chute.</w:t>
      </w:r>
      <w:r>
        <w:rPr>
          <w:rFonts w:eastAsia="Times New Roman"/>
        </w:rPr>
        <w:br/>
        <w:t> </w:t>
      </w:r>
      <w:r>
        <w:rPr>
          <w:rFonts w:eastAsia="Times New Roman"/>
        </w:rPr>
        <w:br/>
        <w:t xml:space="preserve">Les analyses de documents à disposition du pétitionnaire (transmis par le cédant lors de l’acquisition par la société </w:t>
      </w:r>
      <w:proofErr w:type="spellStart"/>
      <w:r>
        <w:rPr>
          <w:rFonts w:eastAsia="Times New Roman"/>
        </w:rPr>
        <w:t>Electr’eau</w:t>
      </w:r>
      <w:proofErr w:type="spellEnd"/>
      <w:r>
        <w:rPr>
          <w:rFonts w:eastAsia="Times New Roman"/>
        </w:rPr>
        <w:t xml:space="preserve">) montrent qu’une intervention sur cette passe à poissons souffre d’incertitude du fait de la méconnaissance des élément structuraux mis en </w:t>
      </w:r>
      <w:proofErr w:type="spellStart"/>
      <w:r>
        <w:rPr>
          <w:rFonts w:eastAsia="Times New Roman"/>
        </w:rPr>
        <w:t>oeuvre</w:t>
      </w:r>
      <w:proofErr w:type="spellEnd"/>
      <w:r>
        <w:rPr>
          <w:rFonts w:eastAsia="Times New Roman"/>
        </w:rPr>
        <w:t xml:space="preserve"> (plans de coffrages ferraillage). La faisabilité de cette opération n’est dès lors pas assurée. Une </w:t>
      </w:r>
      <w:r>
        <w:rPr>
          <w:rFonts w:eastAsia="Times New Roman"/>
          <w:color w:val="FF0000"/>
        </w:rPr>
        <w:t>réflexion</w:t>
      </w:r>
      <w:r>
        <w:rPr>
          <w:rFonts w:eastAsia="Times New Roman"/>
        </w:rPr>
        <w:t> sera dès lors menées. </w:t>
      </w:r>
      <w:r>
        <w:rPr>
          <w:rFonts w:eastAsia="Times New Roman"/>
        </w:rPr>
        <w:br/>
        <w:t> </w:t>
      </w:r>
      <w:r>
        <w:rPr>
          <w:rFonts w:eastAsia="Times New Roman"/>
        </w:rPr>
        <w:br/>
        <w:t>5) Consistance du débit réservé</w:t>
      </w:r>
      <w:r>
        <w:rPr>
          <w:rFonts w:eastAsia="Times New Roman"/>
        </w:rPr>
        <w:br/>
        <w:t> </w:t>
      </w:r>
      <w:r>
        <w:rPr>
          <w:rFonts w:eastAsia="Times New Roman"/>
        </w:rPr>
        <w:br/>
        <w:t xml:space="preserve">Le débit réservé tels que proposé (6.7 m^3/s) respectent </w:t>
      </w:r>
      <w:proofErr w:type="gramStart"/>
      <w:r>
        <w:rPr>
          <w:rFonts w:eastAsia="Times New Roman"/>
        </w:rPr>
        <w:t>les préconisations législative</w:t>
      </w:r>
      <w:proofErr w:type="gramEnd"/>
      <w:r>
        <w:rPr>
          <w:rFonts w:eastAsia="Times New Roman"/>
        </w:rPr>
        <w:t xml:space="preserve"> des 10% du module calculé sur une période de minimum 5 ans.</w:t>
      </w:r>
      <w:r>
        <w:rPr>
          <w:rFonts w:eastAsia="Times New Roman"/>
        </w:rPr>
        <w:br/>
        <w:t> </w:t>
      </w:r>
      <w:r>
        <w:rPr>
          <w:rFonts w:eastAsia="Times New Roman"/>
        </w:rPr>
        <w:br/>
        <w:t xml:space="preserve">Il parait faible en comparaison à ce qui est habituellement adopté sur des cours d’eau de ce genre. Toutefois, cette consistance est </w:t>
      </w:r>
      <w:proofErr w:type="gramStart"/>
      <w:r>
        <w:rPr>
          <w:rFonts w:eastAsia="Times New Roman"/>
        </w:rPr>
        <w:t>adaptées</w:t>
      </w:r>
      <w:proofErr w:type="gramEnd"/>
      <w:r>
        <w:rPr>
          <w:rFonts w:eastAsia="Times New Roman"/>
        </w:rPr>
        <w:t xml:space="preserve"> au projet en raison des caractéristiques du cours d’eau et du projet dans sa globalité. </w:t>
      </w:r>
      <w:r>
        <w:rPr>
          <w:rFonts w:eastAsia="Times New Roman"/>
        </w:rPr>
        <w:br/>
        <w:t>                - très faible capacité d’habitat directement à l’aval du seuil</w:t>
      </w:r>
      <w:r>
        <w:rPr>
          <w:rFonts w:eastAsia="Times New Roman"/>
        </w:rPr>
        <w:br/>
        <w:t xml:space="preserve">                - mise en </w:t>
      </w:r>
      <w:proofErr w:type="spellStart"/>
      <w:r>
        <w:rPr>
          <w:rFonts w:eastAsia="Times New Roman"/>
        </w:rPr>
        <w:t>oeuvre</w:t>
      </w:r>
      <w:proofErr w:type="spellEnd"/>
      <w:r>
        <w:rPr>
          <w:rFonts w:eastAsia="Times New Roman"/>
        </w:rPr>
        <w:t xml:space="preserve"> d’une seconde passe à poissons en rive gauche</w:t>
      </w:r>
      <w:r>
        <w:rPr>
          <w:rFonts w:eastAsia="Times New Roman"/>
        </w:rPr>
        <w:br/>
        <w:t> </w:t>
      </w:r>
      <w:r>
        <w:rPr>
          <w:rFonts w:eastAsia="Times New Roman"/>
        </w:rPr>
        <w:br/>
        <w:t xml:space="preserve">Pour ces raisons, la proposition des 6.7 m^3/s parait cohérente avec les besoins écologiques au droit du site. Toutefois, la délivrance d’un avis favorable par les services de l’OFB est </w:t>
      </w:r>
      <w:proofErr w:type="gramStart"/>
      <w:r>
        <w:rPr>
          <w:rFonts w:eastAsia="Times New Roman"/>
        </w:rPr>
        <w:t>conditionnées</w:t>
      </w:r>
      <w:proofErr w:type="gramEnd"/>
      <w:r>
        <w:rPr>
          <w:rFonts w:eastAsia="Times New Roman"/>
        </w:rPr>
        <w:t xml:space="preserve"> à la réalisation des modifications apportées sur la passe en rive droite avec comme objectif de rajouter une chute.</w:t>
      </w:r>
      <w:r>
        <w:rPr>
          <w:rFonts w:eastAsia="Times New Roman"/>
        </w:rPr>
        <w:br/>
        <w:t> </w:t>
      </w:r>
      <w:r>
        <w:rPr>
          <w:rFonts w:eastAsia="Times New Roman"/>
        </w:rPr>
        <w:br/>
        <w:t>Une question de pertinence sur le lien entre la consistance</w:t>
      </w:r>
      <w:r>
        <w:rPr>
          <w:rFonts w:eastAsia="Times New Roman"/>
          <w:color w:val="FF0000"/>
        </w:rPr>
        <w:t> </w:t>
      </w:r>
      <w:r>
        <w:rPr>
          <w:rFonts w:eastAsia="Times New Roman"/>
        </w:rPr>
        <w:t>d’un débit réservé et le fonctionnement hydraulique d’une passe à poissons a été soulevée par le pétitionnaire. </w:t>
      </w:r>
      <w:r>
        <w:rPr>
          <w:rFonts w:eastAsia="Times New Roman"/>
        </w:rPr>
        <w:br/>
        <w:t> </w:t>
      </w:r>
      <w:r>
        <w:rPr>
          <w:rFonts w:eastAsia="Times New Roman"/>
        </w:rPr>
        <w:br/>
        <w:t>6) Dévalaison</w:t>
      </w:r>
      <w:r>
        <w:rPr>
          <w:rFonts w:eastAsia="Times New Roman"/>
        </w:rPr>
        <w:br/>
        <w:t> </w:t>
      </w:r>
      <w:r>
        <w:rPr>
          <w:rFonts w:eastAsia="Times New Roman"/>
        </w:rPr>
        <w:br/>
        <w:t>Le débit proposé pour la dévalaison en rive gauche parait faible. Un souhait d’augmenter ce débit de 400 l/s a été émis par les services de la DDT et donc de porter ce débit à une consistance de 1400 l/s. Une question demeure sur la pertinence de faire transiter </w:t>
      </w:r>
      <w:proofErr w:type="gramStart"/>
      <w:r>
        <w:rPr>
          <w:rFonts w:eastAsia="Times New Roman"/>
        </w:rPr>
        <w:t>cet augmentation</w:t>
      </w:r>
      <w:proofErr w:type="gramEnd"/>
      <w:r>
        <w:rPr>
          <w:rFonts w:eastAsia="Times New Roman"/>
        </w:rPr>
        <w:t xml:space="preserve"> de débit</w:t>
      </w:r>
      <w:r>
        <w:rPr>
          <w:rFonts w:eastAsia="Times New Roman"/>
          <w:color w:val="FF0000"/>
        </w:rPr>
        <w:t> </w:t>
      </w:r>
      <w:r>
        <w:rPr>
          <w:rFonts w:eastAsia="Times New Roman"/>
        </w:rPr>
        <w:t>en rive droite ou en rive gauche demeure en gardant un débit réservé constant. Un positionnement des services de l’OFB est attendu sur cette question.</w:t>
      </w:r>
      <w:r>
        <w:rPr>
          <w:rFonts w:eastAsia="Times New Roman"/>
        </w:rPr>
        <w:br/>
        <w:t> </w:t>
      </w:r>
      <w:r>
        <w:rPr>
          <w:rFonts w:eastAsia="Times New Roman"/>
        </w:rPr>
        <w:br/>
        <w:t xml:space="preserve">Actuellement, le </w:t>
      </w:r>
      <w:proofErr w:type="gramStart"/>
      <w:r>
        <w:rPr>
          <w:rFonts w:eastAsia="Times New Roman"/>
        </w:rPr>
        <w:t>débit  de</w:t>
      </w:r>
      <w:proofErr w:type="gramEnd"/>
      <w:r>
        <w:rPr>
          <w:rFonts w:eastAsia="Times New Roman"/>
        </w:rPr>
        <w:t xml:space="preserve"> dévalaison est transité au travers du bajoyer droit de la centrale. Cependant, les résultats d’ichtyo compatibilité d’une VLH ne sont pas de 100 % il serait donc plus pertinent de placer l’embouchure de la goulotte à côté de la VLH. Toutefois, l’intégration d’un tel dispositif engendre des difficultés techniques sur les autres ouvrages et notamment sur la passe à </w:t>
      </w:r>
      <w:r>
        <w:rPr>
          <w:rFonts w:eastAsia="Times New Roman"/>
        </w:rPr>
        <w:lastRenderedPageBreak/>
        <w:t>poissons projetée. Lors de échanges précédents il avait été convenu qu'un débit restitué à droite de la centrale permettait d’améliorer les perceptions par rapport à la restitution d’un débit réservé.</w:t>
      </w:r>
      <w:r>
        <w:rPr>
          <w:rFonts w:eastAsia="Times New Roman"/>
        </w:rPr>
        <w:br/>
        <w:t>La permutation de l’emplacement de la VLH et des trois vis s’avère impossible pour des raisons de manutention et de configuration de la zone d’entrée hydraulique de l’usine due à la conservation du bajoyer droit de la centrale</w:t>
      </w:r>
      <w:r>
        <w:rPr>
          <w:rFonts w:eastAsia="Times New Roman"/>
        </w:rPr>
        <w:br/>
      </w:r>
      <w:r>
        <w:rPr>
          <w:rFonts w:eastAsia="Times New Roman"/>
          <w:color w:val="FF0000"/>
        </w:rPr>
        <w:t> </w:t>
      </w:r>
      <w:r>
        <w:rPr>
          <w:rFonts w:eastAsia="Times New Roman"/>
        </w:rPr>
        <w:br/>
        <w:t>7) Passe à poissons en rive gauche</w:t>
      </w:r>
      <w:r>
        <w:rPr>
          <w:rFonts w:eastAsia="Times New Roman"/>
        </w:rPr>
        <w:br/>
        <w:t> </w:t>
      </w:r>
      <w:r>
        <w:rPr>
          <w:rFonts w:eastAsia="Times New Roman"/>
        </w:rPr>
        <w:br/>
        <w:t>Le projet prévoit des largeurs de fente de 0.40 m. Bien que cette dimension rentre dans les minimi préconisés par le projet Life alose, il a été demandé de porter ces ouvertures à une largeur de 0.45 m et donc d’adapter les hauteurs de radier afin de conserver le débit de fonctionnement tels que présenté dans le dossier de complément.</w:t>
      </w:r>
      <w:r>
        <w:rPr>
          <w:rFonts w:eastAsia="Times New Roman"/>
        </w:rPr>
        <w:br/>
        <w:t> </w:t>
      </w:r>
      <w:r>
        <w:rPr>
          <w:rFonts w:eastAsia="Times New Roman"/>
        </w:rPr>
        <w:br/>
        <w:t>Le dispositif sera décalé vers l’amont de manière à faire coïncider l’entrée piscicole de l’ouvrage avec l’extrémité aval du bajoyer gauche de la turbine VLH.</w:t>
      </w:r>
      <w:r>
        <w:rPr>
          <w:rFonts w:eastAsia="Times New Roman"/>
        </w:rPr>
        <w:br/>
        <w:t> </w:t>
      </w:r>
      <w:r>
        <w:rPr>
          <w:rFonts w:eastAsia="Times New Roman"/>
        </w:rPr>
        <w:br/>
        <w:t>Le bassin de repos situé à l’extrémité amont de l’ouvrage sera adapté de manière à éloigner</w:t>
      </w:r>
      <w:r>
        <w:rPr>
          <w:rFonts w:eastAsia="Times New Roman"/>
          <w:color w:val="00B050"/>
        </w:rPr>
        <w:t> </w:t>
      </w:r>
      <w:r>
        <w:rPr>
          <w:rFonts w:eastAsia="Times New Roman"/>
        </w:rPr>
        <w:t>l’entrée hydraulique de la première fente de 50 cm supplémentaires.</w:t>
      </w:r>
      <w:r>
        <w:rPr>
          <w:rFonts w:eastAsia="Times New Roman"/>
        </w:rPr>
        <w:br/>
        <w:t> </w:t>
      </w:r>
      <w:r>
        <w:rPr>
          <w:rFonts w:eastAsia="Times New Roman"/>
        </w:rPr>
        <w:br/>
        <w:t xml:space="preserve">Le principe des ombrages dans un ouvrage de franchissement a été relevé. En effet, la passe se trouve en berge (pour des raisons de franchissement) l’accès au local technique doit donc se faire par-dessus celle-ci. Il a donc été demandé de limiter au maximum l’emprise des ouvrages opaques (dalles d’accès au local) au-dessus de la passe. Bien que </w:t>
      </w:r>
      <w:proofErr w:type="gramStart"/>
      <w:r>
        <w:rPr>
          <w:rFonts w:eastAsia="Times New Roman"/>
        </w:rPr>
        <w:t>réduite  une</w:t>
      </w:r>
      <w:proofErr w:type="gramEnd"/>
      <w:r>
        <w:rPr>
          <w:rFonts w:eastAsia="Times New Roman"/>
        </w:rPr>
        <w:t xml:space="preserve"> partie de la dalle opaque sera conservée afin de permettre les manutention d’objets lourds.</w:t>
      </w:r>
      <w:r>
        <w:rPr>
          <w:rFonts w:eastAsia="Times New Roman"/>
        </w:rPr>
        <w:br/>
        <w:t> </w:t>
      </w:r>
      <w:r>
        <w:rPr>
          <w:rFonts w:eastAsia="Times New Roman"/>
        </w:rPr>
        <w:br/>
        <w:t>8) Conclusions</w:t>
      </w:r>
      <w:r>
        <w:rPr>
          <w:rFonts w:eastAsia="Times New Roman"/>
        </w:rPr>
        <w:br/>
        <w:t> </w:t>
      </w:r>
      <w:r>
        <w:rPr>
          <w:rFonts w:eastAsia="Times New Roman"/>
        </w:rPr>
        <w:br/>
        <w:t>Le dossier de compléments introduit en octobre 2021 permet de répondre à la quasi intégralité des remarques émises. Les points suivants ont encore fait l’objet de remarques : </w:t>
      </w:r>
      <w:r>
        <w:rPr>
          <w:rFonts w:eastAsia="Times New Roman"/>
        </w:rPr>
        <w:br/>
        <w:t> </w:t>
      </w:r>
      <w:r>
        <w:rPr>
          <w:rFonts w:eastAsia="Times New Roman"/>
        </w:rPr>
        <w:br/>
        <w:t>1) ouverture des fentes de la passe à poissons</w:t>
      </w:r>
      <w:r>
        <w:rPr>
          <w:rFonts w:eastAsia="Times New Roman"/>
        </w:rPr>
        <w:br/>
        <w:t>2) positionnement de la passe à poissons</w:t>
      </w:r>
      <w:r>
        <w:rPr>
          <w:rFonts w:eastAsia="Times New Roman"/>
        </w:rPr>
        <w:br/>
        <w:t>3) forme du bassin de repos</w:t>
      </w:r>
      <w:r>
        <w:rPr>
          <w:rFonts w:eastAsia="Times New Roman"/>
        </w:rPr>
        <w:br/>
        <w:t>4) hydrographie et représentation des lignes d’eau</w:t>
      </w:r>
      <w:r>
        <w:rPr>
          <w:rFonts w:eastAsia="Times New Roman"/>
        </w:rPr>
        <w:br/>
        <w:t>5) modalités de restitution des matériaux à la rivière</w:t>
      </w:r>
      <w:r>
        <w:rPr>
          <w:rFonts w:eastAsia="Times New Roman"/>
        </w:rPr>
        <w:br/>
        <w:t> </w:t>
      </w:r>
      <w:r>
        <w:rPr>
          <w:rFonts w:eastAsia="Times New Roman"/>
        </w:rPr>
        <w:br/>
        <w:t>Ces points ont fait</w:t>
      </w:r>
      <w:r>
        <w:rPr>
          <w:rFonts w:eastAsia="Times New Roman"/>
          <w:color w:val="FF0000"/>
        </w:rPr>
        <w:t> </w:t>
      </w:r>
      <w:r>
        <w:rPr>
          <w:rFonts w:eastAsia="Times New Roman"/>
        </w:rPr>
        <w:t>l’objet d’un consensus technique. Une note reprenant ces adaptations sera transmise aux services de la DDT.</w:t>
      </w:r>
      <w:r>
        <w:rPr>
          <w:rFonts w:eastAsia="Times New Roman"/>
        </w:rPr>
        <w:br/>
        <w:t> </w:t>
      </w:r>
      <w:r>
        <w:rPr>
          <w:rFonts w:eastAsia="Times New Roman"/>
        </w:rPr>
        <w:br/>
        <w:t>Toutefois, l’ensemble de remarques formulées n’ont pas pu faire l’objet d’un consensus final. En effet, des interrogations demeurent sur la faisabilité et/ou la pertinence de ces éléments.</w:t>
      </w:r>
      <w:r>
        <w:rPr>
          <w:rFonts w:eastAsia="Times New Roman"/>
        </w:rPr>
        <w:br/>
        <w:t> </w:t>
      </w:r>
      <w:r>
        <w:rPr>
          <w:rFonts w:eastAsia="Times New Roman"/>
        </w:rPr>
        <w:br/>
        <w:t xml:space="preserve">1) L’attribution des 400 l/s de débit de dévalaison entre </w:t>
      </w:r>
      <w:proofErr w:type="gramStart"/>
      <w:r>
        <w:rPr>
          <w:rFonts w:eastAsia="Times New Roman"/>
        </w:rPr>
        <w:t>la rive droit</w:t>
      </w:r>
      <w:proofErr w:type="gramEnd"/>
      <w:r>
        <w:rPr>
          <w:rFonts w:eastAsia="Times New Roman"/>
        </w:rPr>
        <w:t xml:space="preserve"> et la rive gauche doit faire l’objet d’un examen par les services de l’OFB. Un positionnement de leur part est attendu.</w:t>
      </w:r>
      <w:r>
        <w:rPr>
          <w:rFonts w:eastAsia="Times New Roman"/>
        </w:rPr>
        <w:br/>
        <w:t>2) Les modifications de la passe à poissons en rive droite sont incertaines. Une faisabilité économique n’est pas tranchée du fait des inconnues structurelles de la passe à poissons. </w:t>
      </w:r>
      <w:r>
        <w:rPr>
          <w:rFonts w:eastAsia="Times New Roman"/>
        </w:rPr>
        <w:br/>
      </w:r>
      <w:r>
        <w:rPr>
          <w:rFonts w:eastAsia="Times New Roman"/>
          <w:color w:val="00B050"/>
        </w:rPr>
        <w:t> </w:t>
      </w:r>
      <w:r>
        <w:rPr>
          <w:rFonts w:eastAsia="Times New Roman"/>
        </w:rPr>
        <w:br/>
        <w:t> </w:t>
      </w:r>
      <w:r>
        <w:rPr>
          <w:rFonts w:eastAsia="Times New Roman"/>
        </w:rPr>
        <w:br/>
        <w:t>Un avis officiel de la DDT sur le dossier est à rendre. Une proposition de scinder cet avis en deux parties a été validée avec en premier lieux, les éléments ayant fait l’objet d’un consensus et en deuxième partie les éléments devant faire l’objet d’un travail complémentaire.</w:t>
      </w:r>
      <w:r>
        <w:rPr>
          <w:rFonts w:eastAsia="Times New Roman"/>
        </w:rPr>
        <w:br/>
      </w:r>
      <w:proofErr w:type="gramStart"/>
      <w:r>
        <w:rPr>
          <w:rFonts w:eastAsia="Times New Roman"/>
        </w:rPr>
        <w:t>Un délais</w:t>
      </w:r>
      <w:proofErr w:type="gramEnd"/>
      <w:r>
        <w:rPr>
          <w:rFonts w:eastAsia="Times New Roman"/>
        </w:rPr>
        <w:t xml:space="preserve"> de 15 jours à compter du 6/1/2022 a été annoncé.</w:t>
      </w:r>
      <w:r>
        <w:rPr>
          <w:rFonts w:eastAsia="Times New Roman"/>
        </w:rPr>
        <w:br/>
        <w:t> </w:t>
      </w:r>
      <w:r>
        <w:rPr>
          <w:rFonts w:eastAsia="Times New Roman"/>
        </w:rPr>
        <w:br/>
        <w:t>L’objectif de réalisation des travaux en 2022 est confirmé.</w:t>
      </w:r>
      <w:r>
        <w:rPr>
          <w:rFonts w:eastAsia="Times New Roman"/>
        </w:rPr>
        <w:br/>
        <w:t> </w:t>
      </w:r>
      <w:r>
        <w:rPr>
          <w:rFonts w:eastAsia="Times New Roman"/>
        </w:rPr>
        <w:br/>
        <w:t>Laurent Dewandre</w:t>
      </w:r>
      <w:r>
        <w:rPr>
          <w:rFonts w:eastAsia="Times New Roman"/>
        </w:rPr>
        <w:br/>
        <w:t>Chargé de projets</w:t>
      </w:r>
    </w:p>
    <w:p w14:paraId="3AA9A624" w14:textId="77777777" w:rsidR="00D07647" w:rsidRDefault="00D07647" w:rsidP="00D07647">
      <w:pPr>
        <w:rPr>
          <w:rFonts w:eastAsia="Times New Roman"/>
        </w:rPr>
      </w:pPr>
      <w:r>
        <w:rPr>
          <w:rFonts w:eastAsia="Times New Roman"/>
        </w:rPr>
        <w:lastRenderedPageBreak/>
        <w:br/>
      </w:r>
    </w:p>
    <w:p w14:paraId="19577FF5" w14:textId="77777777" w:rsidR="00D07647" w:rsidRDefault="00D07647" w:rsidP="00D07647">
      <w:pPr>
        <w:rPr>
          <w:rFonts w:eastAsia="Times New Roman"/>
        </w:rPr>
      </w:pPr>
      <w:r>
        <w:rPr>
          <w:rFonts w:eastAsia="Times New Roman"/>
        </w:rPr>
        <w:t xml:space="preserve">Le 14 déc. 2021 à </w:t>
      </w:r>
      <w:proofErr w:type="gramStart"/>
      <w:r>
        <w:rPr>
          <w:rFonts w:eastAsia="Times New Roman"/>
        </w:rPr>
        <w:t>18:</w:t>
      </w:r>
      <w:proofErr w:type="gramEnd"/>
      <w:r>
        <w:rPr>
          <w:rFonts w:eastAsia="Times New Roman"/>
        </w:rPr>
        <w:t>23, DDT 86/SEB/MAB (Unité Milieux Aquatiques et Biodiversité) emis par PINTURAUD Vincent - DDT 86/SEB/MAB &lt;</w:t>
      </w:r>
      <w:hyperlink r:id="rId4" w:history="1">
        <w:r>
          <w:rPr>
            <w:rStyle w:val="Lienhypertexte"/>
            <w:rFonts w:eastAsia="Times New Roman"/>
          </w:rPr>
          <w:t>ddt-mab-seb@vienne.gouv.fr</w:t>
        </w:r>
      </w:hyperlink>
      <w:r>
        <w:rPr>
          <w:rFonts w:eastAsia="Times New Roman"/>
        </w:rPr>
        <w:t>&gt; a écrit :</w:t>
      </w:r>
    </w:p>
    <w:p w14:paraId="4CD49B6A" w14:textId="77777777" w:rsidR="00D07647" w:rsidRDefault="00D07647" w:rsidP="00D07647">
      <w:pPr>
        <w:rPr>
          <w:rFonts w:eastAsia="Times New Roman"/>
        </w:rPr>
      </w:pPr>
    </w:p>
    <w:p w14:paraId="135B214E" w14:textId="77777777" w:rsidR="00D07647" w:rsidRDefault="00D07647" w:rsidP="00D07647">
      <w:pPr>
        <w:spacing w:before="100" w:beforeAutospacing="1" w:after="100" w:afterAutospacing="1"/>
      </w:pPr>
      <w:r>
        <w:t>Bonjour</w:t>
      </w:r>
    </w:p>
    <w:p w14:paraId="2A19611D" w14:textId="77777777" w:rsidR="00D07647" w:rsidRDefault="00D07647" w:rsidP="00D07647">
      <w:pPr>
        <w:spacing w:before="100" w:beforeAutospacing="1" w:after="100" w:afterAutospacing="1"/>
      </w:pPr>
      <w:r>
        <w:t xml:space="preserve">Dans le cadre de l'examen du dossier portant sur le "Projet hydroélectrique sur le moulin de </w:t>
      </w:r>
      <w:proofErr w:type="spellStart"/>
      <w:r>
        <w:t>Gâtineau</w:t>
      </w:r>
      <w:proofErr w:type="spellEnd"/>
      <w:r>
        <w:t>" et en réponse à la demande de rendez-vous émanant de monsieur Bensch, nous vous proposons de fixer une réunion en visioconférence la première semaine de janvier.</w:t>
      </w:r>
    </w:p>
    <w:p w14:paraId="2AAF5CB8" w14:textId="77777777" w:rsidR="00D07647" w:rsidRDefault="00D07647" w:rsidP="00D07647">
      <w:pPr>
        <w:spacing w:before="100" w:beforeAutospacing="1" w:after="100" w:afterAutospacing="1"/>
      </w:pPr>
      <w:r>
        <w:t xml:space="preserve">Vous trouverez ci-dessous le lien, vers le sondage pour planifier la </w:t>
      </w:r>
      <w:proofErr w:type="gramStart"/>
      <w:r>
        <w:t>réunion  :</w:t>
      </w:r>
      <w:proofErr w:type="gramEnd"/>
      <w:r>
        <w:br/>
      </w:r>
      <w:hyperlink r:id="rId5" w:history="1">
        <w:r>
          <w:rPr>
            <w:rStyle w:val="Lienhypertexte"/>
          </w:rPr>
          <w:t>https://framadate.org/yeCUqLXKqZTqS7RQ</w:t>
        </w:r>
      </w:hyperlink>
    </w:p>
    <w:p w14:paraId="2484C7C0" w14:textId="77777777" w:rsidR="00D07647" w:rsidRDefault="00D07647" w:rsidP="00D07647">
      <w:pPr>
        <w:spacing w:before="100" w:beforeAutospacing="1" w:after="100" w:afterAutospacing="1"/>
      </w:pPr>
      <w:r>
        <w:t>Cordialement</w:t>
      </w:r>
    </w:p>
    <w:p w14:paraId="14EFE07A" w14:textId="77777777" w:rsidR="00D07647" w:rsidRDefault="00D07647" w:rsidP="00D07647">
      <w:pPr>
        <w:spacing w:before="100" w:beforeAutospacing="1" w:after="100" w:afterAutospacing="1"/>
      </w:pPr>
      <w:r>
        <w:t xml:space="preserve">Vincent </w:t>
      </w:r>
      <w:proofErr w:type="spellStart"/>
      <w:r>
        <w:t>Pinturaud</w:t>
      </w:r>
      <w:proofErr w:type="spellEnd"/>
    </w:p>
    <w:p w14:paraId="518365FC" w14:textId="77777777" w:rsidR="00D07647" w:rsidRDefault="00D07647" w:rsidP="00D07647">
      <w:pPr>
        <w:rPr>
          <w:rFonts w:eastAsia="Times New Roman"/>
        </w:rPr>
      </w:pPr>
      <w:r>
        <w:rPr>
          <w:rFonts w:eastAsia="Times New Roman"/>
        </w:rPr>
        <w:t xml:space="preserve">-- </w:t>
      </w:r>
      <w:r>
        <w:rPr>
          <w:rFonts w:eastAsia="Times New Roman"/>
        </w:rPr>
        <w:br/>
        <w:t>&lt;Signature Mail_MAB.jpg&gt;</w:t>
      </w:r>
    </w:p>
    <w:p w14:paraId="38EC6132" w14:textId="77777777" w:rsidR="00D07647" w:rsidRDefault="00D07647" w:rsidP="00D07647">
      <w:pPr>
        <w:rPr>
          <w:rFonts w:eastAsia="Times New Roman"/>
        </w:rPr>
      </w:pPr>
    </w:p>
    <w:p w14:paraId="5F597D2D" w14:textId="77777777" w:rsidR="00D07647" w:rsidRDefault="00D07647" w:rsidP="00D07647">
      <w:pPr>
        <w:rPr>
          <w:rFonts w:ascii="Helvetica" w:eastAsia="Times New Roman" w:hAnsi="Helvetica" w:cs="Helvetica"/>
          <w:color w:val="000000"/>
          <w:sz w:val="18"/>
          <w:szCs w:val="18"/>
        </w:rPr>
      </w:pPr>
      <w:r>
        <w:rPr>
          <w:rFonts w:ascii="Helvetica" w:eastAsia="Times New Roman" w:hAnsi="Helvetica" w:cs="Helvetica"/>
          <w:color w:val="000000"/>
          <w:sz w:val="18"/>
          <w:szCs w:val="18"/>
        </w:rPr>
        <w:t>Laurent Dewandre</w:t>
      </w:r>
    </w:p>
    <w:p w14:paraId="0724022A" w14:textId="77777777" w:rsidR="00D07647" w:rsidRDefault="00D07647" w:rsidP="00D07647">
      <w:pPr>
        <w:spacing w:after="240"/>
        <w:rPr>
          <w:rFonts w:ascii="Helvetica" w:eastAsia="Times New Roman" w:hAnsi="Helvetica" w:cs="Helvetica"/>
          <w:color w:val="000000"/>
          <w:sz w:val="18"/>
          <w:szCs w:val="18"/>
        </w:rPr>
      </w:pPr>
      <w:r>
        <w:rPr>
          <w:rFonts w:ascii="Helvetica" w:eastAsia="Times New Roman" w:hAnsi="Helvetica" w:cs="Helvetica"/>
          <w:color w:val="000000"/>
          <w:sz w:val="18"/>
          <w:szCs w:val="18"/>
        </w:rPr>
        <w:t>Chargé de projets</w:t>
      </w:r>
    </w:p>
    <w:p w14:paraId="0B73BE6E" w14:textId="29818BBD" w:rsidR="00D07647" w:rsidRDefault="00D07647" w:rsidP="00D07647">
      <w:pPr>
        <w:rPr>
          <w:rFonts w:ascii="Helvetica" w:eastAsia="Times New Roman" w:hAnsi="Helvetica" w:cs="Helvetica"/>
          <w:color w:val="000000"/>
          <w:sz w:val="18"/>
          <w:szCs w:val="18"/>
        </w:rPr>
      </w:pPr>
      <w:r>
        <w:rPr>
          <w:rFonts w:ascii="Helvetica" w:eastAsia="Times New Roman" w:hAnsi="Helvetica" w:cs="Helvetica"/>
          <w:color w:val="000000"/>
          <w:sz w:val="18"/>
          <w:szCs w:val="18"/>
        </w:rPr>
        <w:br/>
      </w:r>
      <w:r>
        <w:rPr>
          <w:rFonts w:ascii="Helvetica" w:eastAsia="Times New Roman" w:hAnsi="Helvetica" w:cs="Helvetica"/>
          <w:noProof/>
          <w:color w:val="000000"/>
          <w:sz w:val="18"/>
          <w:szCs w:val="18"/>
        </w:rPr>
        <w:drawing>
          <wp:inline distT="0" distB="0" distL="0" distR="0" wp14:anchorId="1BDEF40F" wp14:editId="2B926035">
            <wp:extent cx="1706880" cy="1226820"/>
            <wp:effectExtent l="0" t="0" r="762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07D39-C952-48C2-B5C1-199B6D51CAE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06880" cy="1226820"/>
                    </a:xfrm>
                    <a:prstGeom prst="rect">
                      <a:avLst/>
                    </a:prstGeom>
                    <a:noFill/>
                    <a:ln>
                      <a:noFill/>
                    </a:ln>
                  </pic:spPr>
                </pic:pic>
              </a:graphicData>
            </a:graphic>
          </wp:inline>
        </w:drawing>
      </w:r>
      <w:r>
        <w:rPr>
          <w:rFonts w:ascii="Helvetica" w:eastAsia="Times New Roman" w:hAnsi="Helvetica" w:cs="Helvetica"/>
          <w:color w:val="000000"/>
          <w:sz w:val="18"/>
          <w:szCs w:val="18"/>
        </w:rPr>
        <w:br/>
        <w:t>111 rue guillaume d'orange</w:t>
      </w:r>
      <w:r>
        <w:rPr>
          <w:rFonts w:ascii="Helvetica" w:eastAsia="Times New Roman" w:hAnsi="Helvetica" w:cs="Helvetica"/>
          <w:color w:val="000000"/>
          <w:sz w:val="18"/>
          <w:szCs w:val="18"/>
        </w:rPr>
        <w:br/>
        <w:t>4100 Seraing</w:t>
      </w:r>
      <w:r>
        <w:rPr>
          <w:rFonts w:ascii="Helvetica" w:eastAsia="Times New Roman" w:hAnsi="Helvetica" w:cs="Helvetica"/>
          <w:color w:val="000000"/>
          <w:sz w:val="18"/>
          <w:szCs w:val="18"/>
        </w:rPr>
        <w:br/>
        <w:t>Mobile : +32 (0)475 85 52 10</w:t>
      </w:r>
      <w:r>
        <w:rPr>
          <w:rFonts w:ascii="Helvetica" w:eastAsia="Times New Roman" w:hAnsi="Helvetica" w:cs="Helvetica"/>
          <w:color w:val="000000"/>
          <w:sz w:val="18"/>
          <w:szCs w:val="18"/>
        </w:rPr>
        <w:br/>
        <w:t>Fixe : +32 (0)4 325 08 00</w:t>
      </w:r>
      <w:r>
        <w:rPr>
          <w:rFonts w:ascii="Helvetica" w:eastAsia="Times New Roman" w:hAnsi="Helvetica" w:cs="Helvetica"/>
          <w:color w:val="000000"/>
          <w:sz w:val="18"/>
          <w:szCs w:val="18"/>
        </w:rPr>
        <w:br/>
        <w:t>Site web : </w:t>
      </w:r>
      <w:hyperlink r:id="rId8" w:history="1">
        <w:r>
          <w:rPr>
            <w:rStyle w:val="Lienhypertexte"/>
            <w:rFonts w:ascii="Helvetica" w:eastAsia="Times New Roman" w:hAnsi="Helvetica" w:cs="Helvetica"/>
            <w:sz w:val="18"/>
            <w:szCs w:val="18"/>
          </w:rPr>
          <w:t>www.mtbe.be</w:t>
        </w:r>
      </w:hyperlink>
      <w:r>
        <w:rPr>
          <w:rFonts w:ascii="Helvetica" w:eastAsia="Times New Roman" w:hAnsi="Helvetica" w:cs="Helvetica"/>
          <w:color w:val="000000"/>
          <w:sz w:val="18"/>
          <w:szCs w:val="18"/>
        </w:rPr>
        <w:br/>
      </w:r>
    </w:p>
    <w:p w14:paraId="725D4C23" w14:textId="77777777" w:rsidR="00D07647" w:rsidRDefault="00D07647" w:rsidP="00D07647">
      <w:pPr>
        <w:rPr>
          <w:rFonts w:eastAsia="Times New Roman"/>
        </w:rPr>
      </w:pPr>
    </w:p>
    <w:p w14:paraId="22ACF6EE" w14:textId="12CEA00E" w:rsidR="00C43ED4" w:rsidRPr="00D07647" w:rsidRDefault="00C43ED4" w:rsidP="00D07647"/>
    <w:sectPr w:rsidR="00C43ED4" w:rsidRPr="00D07647" w:rsidSect="00293B7F">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99"/>
    <w:rsid w:val="00293B7F"/>
    <w:rsid w:val="00C43ED4"/>
    <w:rsid w:val="00D07647"/>
    <w:rsid w:val="00FE0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C14E"/>
  <w15:chartTrackingRefBased/>
  <w15:docId w15:val="{737CD1AC-81AB-4984-AB2A-9E9E9FB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99"/>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0F99"/>
    <w:rPr>
      <w:color w:val="0563C1" w:themeColor="hyperlink"/>
      <w:u w:val="single"/>
    </w:rPr>
  </w:style>
  <w:style w:type="paragraph" w:styleId="NormalWeb">
    <w:name w:val="Normal (Web)"/>
    <w:basedOn w:val="Normal"/>
    <w:uiPriority w:val="99"/>
    <w:semiHidden/>
    <w:unhideWhenUsed/>
    <w:rsid w:val="00FE0F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44306">
      <w:bodyDiv w:val="1"/>
      <w:marLeft w:val="0"/>
      <w:marRight w:val="0"/>
      <w:marTop w:val="0"/>
      <w:marBottom w:val="0"/>
      <w:divBdr>
        <w:top w:val="none" w:sz="0" w:space="0" w:color="auto"/>
        <w:left w:val="none" w:sz="0" w:space="0" w:color="auto"/>
        <w:bottom w:val="none" w:sz="0" w:space="0" w:color="auto"/>
        <w:right w:val="none" w:sz="0" w:space="0" w:color="auto"/>
      </w:divBdr>
    </w:div>
    <w:div w:id="18640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be.be" TargetMode="External"/><Relationship Id="rId3" Type="http://schemas.openxmlformats.org/officeDocument/2006/relationships/webSettings" Target="webSettings.xml"/><Relationship Id="rId7" Type="http://schemas.openxmlformats.org/officeDocument/2006/relationships/image" Target="cid:740A7798-6403-49BE-ABDF-64F0670C4268@mtbe.d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framadate.org/yeCUqLXKqZTqS7RQ" TargetMode="External"/><Relationship Id="rId10" Type="http://schemas.openxmlformats.org/officeDocument/2006/relationships/theme" Target="theme/theme1.xml"/><Relationship Id="rId4" Type="http://schemas.openxmlformats.org/officeDocument/2006/relationships/hyperlink" Target="mailto:ddt-mab-seb@vienne.gouv.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1486</Words>
  <Characters>8174</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syndic3</dc:creator>
  <cp:keywords/>
  <dc:description/>
  <cp:lastModifiedBy>syndic3</cp:lastModifiedBy>
  <cp:revision>4</cp:revision>
  <dcterms:created xsi:type="dcterms:W3CDTF">2022-03-13T11:15:00Z</dcterms:created>
  <dcterms:modified xsi:type="dcterms:W3CDTF">2022-03-13T12:51:00Z</dcterms:modified>
</cp:coreProperties>
</file>